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363.48" w:type="dxa"/>
        <w:tblLayout w:type="fixed"/>
        <w:tblLook w:val="0400"/>
      </w:tblPr>
      <w:tblGrid>
        <w:gridCol w:w="600"/>
        <w:gridCol w:w="405"/>
        <w:gridCol w:w="105"/>
        <w:gridCol w:w="1035"/>
        <w:gridCol w:w="585"/>
        <w:gridCol w:w="5400"/>
        <w:gridCol w:w="825"/>
        <w:gridCol w:w="510"/>
        <w:gridCol w:w="105"/>
        <w:gridCol w:w="1155"/>
        <w:gridCol w:w="105"/>
        <w:tblGridChange w:id="0">
          <w:tblGrid>
            <w:gridCol w:w="600"/>
            <w:gridCol w:w="405"/>
            <w:gridCol w:w="105"/>
            <w:gridCol w:w="1035"/>
            <w:gridCol w:w="585"/>
            <w:gridCol w:w="5400"/>
            <w:gridCol w:w="825"/>
            <w:gridCol w:w="510"/>
            <w:gridCol w:w="105"/>
            <w:gridCol w:w="1155"/>
            <w:gridCol w:w="10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tabs>
                <w:tab w:val="left" w:leader="none" w:pos="810"/>
              </w:tabs>
              <w:rPr>
                <w:rFonts w:ascii="Nunito" w:cs="Nunito" w:eastAsia="Nunito" w:hAnsi="Nunito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Title"/>
              <w:pageBreakBefore w:val="0"/>
              <w:tabs>
                <w:tab w:val="left" w:leader="none" w:pos="810"/>
              </w:tabs>
              <w:rPr>
                <w:rFonts w:ascii="Nunito" w:cs="Nunito" w:eastAsia="Nunito" w:hAnsi="Nunito"/>
                <w:color w:val="1f497d"/>
                <w:sz w:val="22"/>
                <w:szCs w:val="22"/>
                <w:u w:val="single"/>
              </w:rPr>
            </w:pPr>
            <w:bookmarkStart w:colFirst="0" w:colLast="0" w:name="_9j4y9q16pqcs" w:id="0"/>
            <w:bookmarkEnd w:id="0"/>
            <w:r w:rsidDel="00000000" w:rsidR="00000000" w:rsidRPr="00000000">
              <w:rPr>
                <w:rFonts w:ascii="Nunito" w:cs="Nunito" w:eastAsia="Nunito" w:hAnsi="Nunito"/>
                <w:color w:val="1f497d"/>
                <w:sz w:val="22"/>
                <w:szCs w:val="22"/>
                <w:rtl w:val="0"/>
              </w:rPr>
              <w:t xml:space="preserve">PLATTE COUNTY COMMISSION ADMINISTRATIVE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tabs>
                <w:tab w:val="left" w:leader="none" w:pos="810"/>
              </w:tabs>
              <w:jc w:val="center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COMMISSION MEETING ROOM - 415 THIRD STREET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Title"/>
              <w:pageBreakBefore w:val="0"/>
              <w:tabs>
                <w:tab w:val="left" w:leader="none" w:pos="810"/>
              </w:tabs>
              <w:rPr>
                <w:rFonts w:ascii="Nunito" w:cs="Nunito" w:eastAsia="Nunito" w:hAnsi="Nunito"/>
                <w:color w:val="1f497d"/>
                <w:sz w:val="22"/>
                <w:szCs w:val="22"/>
              </w:rPr>
            </w:pPr>
            <w:bookmarkStart w:colFirst="0" w:colLast="0" w:name="_ya4tbrmjm4mt" w:id="1"/>
            <w:bookmarkEnd w:id="1"/>
            <w:r w:rsidDel="00000000" w:rsidR="00000000" w:rsidRPr="00000000">
              <w:rPr>
                <w:rFonts w:ascii="Nunito" w:cs="Nunito" w:eastAsia="Nunito" w:hAnsi="Nunito"/>
                <w:color w:val="1f497d"/>
                <w:sz w:val="22"/>
                <w:szCs w:val="22"/>
                <w:rtl w:val="0"/>
              </w:rPr>
              <w:t xml:space="preserve">PLATTE CITY, MO 64079 </w:t>
            </w:r>
            <w:r w:rsidDel="00000000" w:rsidR="00000000" w:rsidRPr="00000000">
              <w:rPr>
                <w:rFonts w:ascii="Nunito" w:cs="Nunito" w:eastAsia="Nunito" w:hAnsi="Nunito"/>
                <w:color w:val="1f497d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pageBreakBefore w:val="0"/>
              <w:tabs>
                <w:tab w:val="left" w:leader="none" w:pos="81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Title"/>
              <w:pageBreakBefore w:val="0"/>
              <w:tabs>
                <w:tab w:val="left" w:leader="none" w:pos="810"/>
              </w:tabs>
              <w:rPr>
                <w:rFonts w:ascii="Nunito" w:cs="Nunito" w:eastAsia="Nunito" w:hAnsi="Nunito"/>
                <w:b w:val="1"/>
                <w:color w:val="1f497d"/>
                <w:sz w:val="22"/>
                <w:szCs w:val="22"/>
              </w:rPr>
            </w:pPr>
            <w:bookmarkStart w:colFirst="0" w:colLast="0" w:name="_bp7lqu9alqy9" w:id="2"/>
            <w:bookmarkEnd w:id="2"/>
            <w:r w:rsidDel="00000000" w:rsidR="00000000" w:rsidRPr="00000000">
              <w:rPr>
                <w:rFonts w:ascii="Nunito" w:cs="Nunito" w:eastAsia="Nunito" w:hAnsi="Nunito"/>
                <w:color w:val="1f497d"/>
                <w:sz w:val="22"/>
                <w:szCs w:val="22"/>
                <w:rtl w:val="0"/>
              </w:rPr>
              <w:t xml:space="preserve">ARPA 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Title"/>
              <w:pageBreakBefore w:val="0"/>
              <w:shd w:fill="auto" w:val="clear"/>
              <w:tabs>
                <w:tab w:val="left" w:leader="none" w:pos="810"/>
              </w:tabs>
              <w:rPr>
                <w:rFonts w:ascii="Nunito" w:cs="Nunito" w:eastAsia="Nunito" w:hAnsi="Nunito"/>
                <w:b w:val="1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pageBreakBefore w:val="0"/>
              <w:shd w:fill="auto" w:val="clear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DATE: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5">
            <w:pPr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color w:val="1f497d"/>
                <w:rtl w:val="0"/>
              </w:rPr>
              <w:t xml:space="preserve">Monday, March 25,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pageBreakBefore w:val="0"/>
              <w:shd w:fill="auto" w:val="clear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TIME: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F">
            <w:pPr>
              <w:pageBreakBefore w:val="0"/>
              <w:shd w:fill="auto" w:val="clear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color w:val="1f497d"/>
                <w:rtl w:val="0"/>
              </w:rPr>
              <w:t xml:space="preserve">10:00am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pageBreakBefore w:val="0"/>
              <w:shd w:fill="auto" w:val="clear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NOTICE: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9">
            <w:pPr>
              <w:pageBreakBefore w:val="0"/>
              <w:shd w:fill="auto" w:val="clear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color w:val="1f497d"/>
                <w:rtl w:val="0"/>
              </w:rPr>
              <w:t xml:space="preserve">This meeting room is accessible. If you require any accommodation (e.g., interpreter, large print, reader, etc.), please notify the County Clerk no later than 3:00 pm on the Friday prior to the Session.</w:t>
            </w:r>
          </w:p>
          <w:p w:rsidR="00000000" w:rsidDel="00000000" w:rsidP="00000000" w:rsidRDefault="00000000" w:rsidRPr="00000000" w14:paraId="0000002A">
            <w:pPr>
              <w:pageBreakBefore w:val="0"/>
              <w:shd w:fill="auto" w:val="clear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hd w:fill="auto" w:val="clear"/>
              <w:jc w:val="right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1.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CALL TO ORDER: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hd w:fill="auto" w:val="clear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shd w:fill="auto" w:val="clear"/>
              <w:jc w:val="right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2.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APPROVAL OF AGENDA:</w:t>
            </w:r>
            <w:r w:rsidDel="00000000" w:rsidR="00000000" w:rsidRPr="00000000">
              <w:rPr>
                <w:rFonts w:ascii="Nunito" w:cs="Nunito" w:eastAsia="Nunito" w:hAnsi="Nunito"/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ageBreakBefore w:val="0"/>
              <w:shd w:fill="auto" w:val="clear"/>
              <w:ind w:left="18.000000000000043" w:firstLine="0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shd w:fill="auto" w:val="clear"/>
              <w:jc w:val="right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3.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48">
            <w:pPr>
              <w:pageBreakBefore w:val="0"/>
              <w:shd w:fill="auto" w:val="clear"/>
              <w:rPr>
                <w:rFonts w:ascii="Nunito" w:cs="Nunito" w:eastAsia="Nunito" w:hAnsi="Nunito"/>
                <w:b w:val="1"/>
                <w:color w:val="1f497d"/>
                <w:highlight w:val="yellow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CONSENT CALENDAR: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jc w:val="right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ind w:left="-90" w:right="-60" w:firstLine="0"/>
              <w:jc w:val="right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color w:val="1f497d"/>
                <w:rtl w:val="0"/>
              </w:rPr>
              <w:t xml:space="preserve">A.</w:t>
            </w:r>
          </w:p>
        </w:tc>
        <w:tc>
          <w:tcPr>
            <w:gridSpan w:val="8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right" w:leader="none" w:pos="4556"/>
              </w:tabs>
              <w:ind w:left="90" w:firstLine="0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color w:val="1f497d"/>
                <w:rtl w:val="0"/>
              </w:rPr>
              <w:t xml:space="preserve">Minutes:</w:t>
            </w:r>
          </w:p>
          <w:p w:rsidR="00000000" w:rsidDel="00000000" w:rsidP="00000000" w:rsidRDefault="00000000" w:rsidRPr="00000000" w14:paraId="00000054">
            <w:pPr>
              <w:ind w:left="90" w:firstLine="0"/>
              <w:rPr>
                <w:rFonts w:ascii="Nunito" w:cs="Nunito" w:eastAsia="Nunito" w:hAnsi="Nunito"/>
                <w:color w:val="1f497d"/>
              </w:rPr>
            </w:pPr>
            <w:hyperlink r:id="rId6">
              <w:r w:rsidDel="00000000" w:rsidR="00000000" w:rsidRPr="00000000">
                <w:rPr>
                  <w:rFonts w:ascii="Nunito" w:cs="Nunito" w:eastAsia="Nunito" w:hAnsi="Nunito"/>
                  <w:color w:val="1f497d"/>
                  <w:u w:val="single"/>
                  <w:rtl w:val="0"/>
                </w:rPr>
                <w:t xml:space="preserve">March 18, 2024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90" w:firstLine="0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hd w:fill="auto" w:val="clear"/>
              <w:jc w:val="right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4.</w:t>
            </w:r>
          </w:p>
        </w:tc>
        <w:tc>
          <w:tcPr>
            <w:gridSpan w:val="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hd w:fill="auto" w:val="clear"/>
              <w:rPr>
                <w:rFonts w:ascii="Nunito" w:cs="Nunito" w:eastAsia="Nunito" w:hAnsi="Nunito"/>
                <w:color w:val="1f497d"/>
                <w:highlight w:val="yellow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BUSINESS ACTION ITEMS: </w:t>
            </w:r>
            <w:r w:rsidDel="00000000" w:rsidR="00000000" w:rsidRPr="00000000">
              <w:rPr>
                <w:rFonts w:ascii="Nunito" w:cs="Nunito" w:eastAsia="Nunito" w:hAnsi="Nunito"/>
                <w:color w:val="1f497d"/>
                <w:rtl w:val="0"/>
              </w:rPr>
              <w:t xml:space="preserve">(County Commission may vote on any Business Action Item)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ind w:left="-90" w:firstLine="0"/>
              <w:rPr>
                <w:rFonts w:ascii="Nunito" w:cs="Nunito" w:eastAsia="Nunito" w:hAnsi="Nunito"/>
                <w:color w:val="1f497d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i w:val="1"/>
                <w:color w:val="1f497d"/>
                <w:u w:val="single"/>
                <w:rtl w:val="0"/>
              </w:rPr>
              <w:t xml:space="preserve">Facilities – Daniel Erickson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shd w:fill="auto" w:val="clear"/>
              <w:jc w:val="right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hd w:fill="auto" w:val="clear"/>
              <w:ind w:left="-90" w:firstLine="0"/>
              <w:jc w:val="right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color w:val="1f497d"/>
                <w:rtl w:val="0"/>
              </w:rPr>
              <w:t xml:space="preserve">A.</w:t>
            </w:r>
          </w:p>
        </w:tc>
        <w:tc>
          <w:tcPr>
            <w:gridSpan w:val="8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pageBreakBefore w:val="0"/>
              <w:shd w:fill="auto" w:val="clear"/>
              <w:ind w:left="0" w:firstLine="0"/>
              <w:rPr>
                <w:rFonts w:ascii="Nunito" w:cs="Nunito" w:eastAsia="Nunito" w:hAnsi="Nunito"/>
                <w:color w:val="1f497d"/>
              </w:rPr>
            </w:pPr>
            <w:hyperlink r:id="rId7">
              <w:r w:rsidDel="00000000" w:rsidR="00000000" w:rsidRPr="00000000">
                <w:rPr>
                  <w:rFonts w:ascii="Nunito" w:cs="Nunito" w:eastAsia="Nunito" w:hAnsi="Nunito"/>
                  <w:color w:val="1f497d"/>
                  <w:u w:val="single"/>
                  <w:rtl w:val="0"/>
                </w:rPr>
                <w:t xml:space="preserve">2024-CO-012-ARPA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hd w:fill="auto" w:val="clear"/>
              <w:ind w:left="0" w:firstLine="0"/>
              <w:rPr>
                <w:rFonts w:ascii="Nunito" w:cs="Nunito" w:eastAsia="Nunito" w:hAnsi="Nunito"/>
                <w:color w:val="1f497d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color w:val="1f497d"/>
                <w:highlight w:val="white"/>
                <w:rtl w:val="0"/>
              </w:rPr>
              <w:t xml:space="preserve">Contract Between Platte County and IHP Industrial Inc - Budget Impact: $825,560.00</w:t>
            </w:r>
          </w:p>
          <w:p w:rsidR="00000000" w:rsidDel="00000000" w:rsidP="00000000" w:rsidRDefault="00000000" w:rsidRPr="00000000" w14:paraId="00000075">
            <w:pPr>
              <w:pageBreakBefore w:val="0"/>
              <w:shd w:fill="auto" w:val="clear"/>
              <w:ind w:left="0" w:firstLine="0"/>
              <w:rPr>
                <w:rFonts w:ascii="Nunito" w:cs="Nunito" w:eastAsia="Nunito" w:hAnsi="Nunito"/>
                <w:color w:val="1f497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hd w:fill="auto" w:val="clear"/>
              <w:jc w:val="right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shd w:fill="auto" w:val="clear"/>
              <w:ind w:left="-90" w:firstLine="0"/>
              <w:jc w:val="right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color w:val="1f497d"/>
                <w:rtl w:val="0"/>
              </w:rPr>
              <w:t xml:space="preserve">B.</w:t>
            </w:r>
          </w:p>
        </w:tc>
        <w:tc>
          <w:tcPr>
            <w:gridSpan w:val="8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Nunito" w:cs="Nunito" w:eastAsia="Nunito" w:hAnsi="Nunito"/>
                <w:color w:val="1f497d"/>
                <w:highlight w:val="white"/>
              </w:rPr>
            </w:pPr>
            <w:hyperlink r:id="rId8">
              <w:r w:rsidDel="00000000" w:rsidR="00000000" w:rsidRPr="00000000">
                <w:rPr>
                  <w:rFonts w:ascii="Nunito" w:cs="Nunito" w:eastAsia="Nunito" w:hAnsi="Nunito"/>
                  <w:color w:val="1f497d"/>
                  <w:highlight w:val="white"/>
                  <w:u w:val="single"/>
                  <w:rtl w:val="0"/>
                </w:rPr>
                <w:t xml:space="preserve">2024-RES-010-ARPA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Nunito" w:cs="Nunito" w:eastAsia="Nunito" w:hAnsi="Nunito"/>
                <w:color w:val="1f497d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color w:val="1f497d"/>
                <w:highlight w:val="white"/>
                <w:rtl w:val="0"/>
              </w:rPr>
              <w:t xml:space="preserve">Request for Bids - Window Replacement</w:t>
            </w:r>
          </w:p>
          <w:p w:rsidR="00000000" w:rsidDel="00000000" w:rsidP="00000000" w:rsidRDefault="00000000" w:rsidRPr="00000000" w14:paraId="00000081">
            <w:pPr>
              <w:rPr>
                <w:rFonts w:ascii="Nunito" w:cs="Nunito" w:eastAsia="Nunito" w:hAnsi="Nunito"/>
                <w:color w:val="1f497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shd w:fill="auto" w:val="clear"/>
              <w:jc w:val="right"/>
              <w:rPr>
                <w:rFonts w:ascii="Nunito" w:cs="Nunito" w:eastAsia="Nunito" w:hAnsi="Nunito"/>
                <w:b w:val="1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5.</w:t>
            </w:r>
          </w:p>
        </w:tc>
        <w:tc>
          <w:tcPr>
            <w:gridSpan w:val="9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90" w:firstLine="0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1f497d"/>
                <w:rtl w:val="0"/>
              </w:rPr>
              <w:t xml:space="preserve">ADJOURNMENT: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hd w:fill="auto" w:val="clear"/>
              <w:ind w:left="-90" w:firstLine="0"/>
              <w:rPr>
                <w:rFonts w:ascii="Nunito" w:cs="Nunito" w:eastAsia="Nunito" w:hAnsi="Nunito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spacing w:line="276" w:lineRule="auto"/>
        <w:rPr>
          <w:rFonts w:ascii="Nunito" w:cs="Nunito" w:eastAsia="Nunito" w:hAnsi="Nunito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rFonts w:ascii="Nunito" w:cs="Nunito" w:eastAsia="Nunito" w:hAnsi="Nunito"/>
          <w:b w:val="1"/>
          <w:color w:val="1f497d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28.799999999999997" w:top="863.9999999999999" w:left="1152" w:right="1152" w:header="720" w:footer="14.39999999999999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Schoolboo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4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4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1f497d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ageBreakBefore w:val="0"/>
      <w:tabs>
        <w:tab w:val="right" w:leader="none" w:pos="10440"/>
      </w:tabs>
      <w:spacing w:after="720" w:lineRule="auto"/>
      <w:jc w:val="center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1f497d"/>
        <w:sz w:val="22"/>
        <w:szCs w:val="22"/>
        <w:u w:val="none"/>
        <w:vertAlign w:val="baseline"/>
      </w:rPr>
    </w:pPr>
    <w:r w:rsidDel="00000000" w:rsidR="00000000" w:rsidRPr="00000000">
      <w:rPr>
        <w:rFonts w:ascii="Nunito" w:cs="Nunito" w:eastAsia="Nunito" w:hAnsi="Nunito"/>
        <w:color w:val="1f497d"/>
        <w:sz w:val="16"/>
        <w:szCs w:val="16"/>
        <w:highlight w:val="yellow"/>
        <w:rtl w:val="0"/>
      </w:rPr>
      <w:t xml:space="preserve">March 6, 2023</w:t>
    </w:r>
    <w:r w:rsidDel="00000000" w:rsidR="00000000" w:rsidRPr="00000000">
      <w:rPr>
        <w:rFonts w:ascii="Nunito" w:cs="Nunito" w:eastAsia="Nunito" w:hAnsi="Nunito"/>
        <w:color w:val="1f497d"/>
        <w:sz w:val="16"/>
        <w:szCs w:val="16"/>
        <w:rtl w:val="0"/>
      </w:rPr>
      <w:t xml:space="preserve"> Platte County Commission Session Agenda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ageBreakBefore w:val="0"/>
      <w:tabs>
        <w:tab w:val="right" w:leader="none" w:pos="10440"/>
      </w:tabs>
      <w:jc w:val="center"/>
      <w:rPr>
        <w:rFonts w:ascii="Arial" w:cs="Arial" w:eastAsia="Arial" w:hAnsi="Arial"/>
        <w:color w:val="1f497d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1f497d"/>
        <w:sz w:val="20"/>
        <w:szCs w:val="2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1f497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1f497d"/>
        <w:sz w:val="20"/>
        <w:szCs w:val="20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color w:val="1f497d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ageBreakBefore w:val="0"/>
      <w:tabs>
        <w:tab w:val="right" w:leader="none" w:pos="10440"/>
      </w:tabs>
      <w:jc w:val="center"/>
      <w:rPr>
        <w:rFonts w:ascii="Arial" w:cs="Arial" w:eastAsia="Arial" w:hAnsi="Arial"/>
        <w:color w:val="1f497d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pageBreakBefore w:val="0"/>
      <w:tabs>
        <w:tab w:val="right" w:leader="none" w:pos="10440"/>
      </w:tabs>
      <w:spacing w:after="720" w:lineRule="auto"/>
      <w:jc w:val="center"/>
      <w:rPr>
        <w:rFonts w:ascii="Nunito" w:cs="Nunito" w:eastAsia="Nunito" w:hAnsi="Nunito"/>
        <w:color w:val="1f497d"/>
        <w:sz w:val="16"/>
        <w:szCs w:val="16"/>
      </w:rPr>
    </w:pPr>
    <w:r w:rsidDel="00000000" w:rsidR="00000000" w:rsidRPr="00000000">
      <w:rPr>
        <w:rFonts w:ascii="Nunito" w:cs="Nunito" w:eastAsia="Nunito" w:hAnsi="Nunito"/>
        <w:color w:val="1f497d"/>
        <w:sz w:val="16"/>
        <w:szCs w:val="16"/>
        <w:rtl w:val="0"/>
      </w:rPr>
      <w:t xml:space="preserve">March 25, 2024 </w:t>
    </w:r>
    <w:r w:rsidDel="00000000" w:rsidR="00000000" w:rsidRPr="00000000">
      <w:rPr>
        <w:rFonts w:ascii="Nunito" w:cs="Nunito" w:eastAsia="Nunito" w:hAnsi="Nunito"/>
        <w:color w:val="1f497d"/>
        <w:sz w:val="16"/>
        <w:szCs w:val="16"/>
        <w:rtl w:val="0"/>
      </w:rPr>
      <w:t xml:space="preserve"> Platte County Commission ARPA Session Agenda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ageBreakBefore w:val="0"/>
      <w:ind w:left="-612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ageBreakBefore w:val="0"/>
      <w:ind w:left="-612" w:firstLine="0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POSTED   Date: March 22, 2024   Time: 8:30 am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center"/>
    </w:pPr>
    <w:rPr>
      <w:rFonts w:ascii="Century Schoolbook" w:cs="Century Schoolbook" w:eastAsia="Century Schoolbook" w:hAnsi="Century Schoolbook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86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RKm5BNNMDN8UD6eS-vPe9fvKSNeCgNE-i16Ho3LrMWc/edit?usp=drive_link" TargetMode="External"/><Relationship Id="rId7" Type="http://schemas.openxmlformats.org/officeDocument/2006/relationships/hyperlink" Target="https://drive.google.com/file/d/1Lb1jh-nL-UhIE66emmyKkspPd-BxGvlv/view?usp=drive_link" TargetMode="External"/><Relationship Id="rId8" Type="http://schemas.openxmlformats.org/officeDocument/2006/relationships/hyperlink" Target="https://drive.google.com/file/d/1tTJfKvNV8iv3NuzKUOaOm31YYBDcvhFh/view?usp=driv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CenturySchoolbook-regular.ttf"/><Relationship Id="rId6" Type="http://schemas.openxmlformats.org/officeDocument/2006/relationships/font" Target="fonts/CenturySchoolbook-bold.ttf"/><Relationship Id="rId7" Type="http://schemas.openxmlformats.org/officeDocument/2006/relationships/font" Target="fonts/CenturySchoolbook-italic.ttf"/><Relationship Id="rId8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